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86" w:rsidRDefault="00551222" w:rsidP="00551222">
      <w:pPr>
        <w:pStyle w:val="Titel"/>
      </w:pPr>
      <w:r>
        <w:t>Jahresabschluss</w:t>
      </w:r>
    </w:p>
    <w:p w:rsidR="00551222" w:rsidRDefault="00551222" w:rsidP="00551222">
      <w:r>
        <w:t>Adressaten:</w:t>
      </w:r>
    </w:p>
    <w:p w:rsidR="00551222" w:rsidRDefault="00551222" w:rsidP="00551222">
      <w:r>
        <w:t>Intern:</w:t>
      </w:r>
    </w:p>
    <w:p w:rsidR="00551222" w:rsidRDefault="00551222" w:rsidP="00551222">
      <w:pPr>
        <w:pStyle w:val="Listenabsatz"/>
        <w:numPr>
          <w:ilvl w:val="0"/>
          <w:numId w:val="24"/>
        </w:numPr>
      </w:pPr>
      <w:r>
        <w:t>Kontrollorgane</w:t>
      </w:r>
    </w:p>
    <w:p w:rsidR="00551222" w:rsidRDefault="00551222" w:rsidP="00551222">
      <w:pPr>
        <w:pStyle w:val="Listenabsatz"/>
        <w:numPr>
          <w:ilvl w:val="0"/>
          <w:numId w:val="24"/>
        </w:numPr>
      </w:pPr>
      <w:r>
        <w:t>Manager/Inhaber</w:t>
      </w:r>
    </w:p>
    <w:p w:rsidR="00551222" w:rsidRDefault="00551222" w:rsidP="00551222">
      <w:r>
        <w:t>Extern:</w:t>
      </w:r>
    </w:p>
    <w:p w:rsidR="00551222" w:rsidRDefault="00551222" w:rsidP="00551222">
      <w:pPr>
        <w:pStyle w:val="Listenabsatz"/>
        <w:numPr>
          <w:ilvl w:val="0"/>
          <w:numId w:val="25"/>
        </w:numPr>
      </w:pPr>
      <w:r>
        <w:t>Investoren</w:t>
      </w:r>
    </w:p>
    <w:p w:rsidR="00551222" w:rsidRDefault="00551222" w:rsidP="00551222">
      <w:pPr>
        <w:pStyle w:val="Listenabsatz"/>
        <w:numPr>
          <w:ilvl w:val="0"/>
          <w:numId w:val="25"/>
        </w:numPr>
      </w:pPr>
      <w:r>
        <w:t>Kreditinstitute</w:t>
      </w:r>
    </w:p>
    <w:p w:rsidR="00551222" w:rsidRDefault="00551222" w:rsidP="00551222">
      <w:pPr>
        <w:pStyle w:val="Listenabsatz"/>
        <w:numPr>
          <w:ilvl w:val="0"/>
          <w:numId w:val="25"/>
        </w:numPr>
      </w:pPr>
      <w:r>
        <w:t>Finanzamt</w:t>
      </w:r>
    </w:p>
    <w:p w:rsidR="00551222" w:rsidRPr="00551222" w:rsidRDefault="00551222" w:rsidP="00551222">
      <w:pPr>
        <w:pStyle w:val="Listenabsatz"/>
        <w:numPr>
          <w:ilvl w:val="0"/>
          <w:numId w:val="25"/>
        </w:numPr>
        <w:rPr>
          <w:i/>
        </w:rPr>
      </w:pPr>
      <w:r w:rsidRPr="00551222">
        <w:rPr>
          <w:i/>
        </w:rPr>
        <w:t>Lieferanten*</w:t>
      </w:r>
    </w:p>
    <w:p w:rsidR="00551222" w:rsidRPr="00551222" w:rsidRDefault="00551222" w:rsidP="00551222">
      <w:pPr>
        <w:pStyle w:val="Listenabsatz"/>
        <w:numPr>
          <w:ilvl w:val="0"/>
          <w:numId w:val="25"/>
        </w:numPr>
        <w:rPr>
          <w:i/>
        </w:rPr>
      </w:pPr>
      <w:r w:rsidRPr="00551222">
        <w:rPr>
          <w:i/>
        </w:rPr>
        <w:t>Kunden*</w:t>
      </w:r>
    </w:p>
    <w:p w:rsidR="00551222" w:rsidRPr="00551222" w:rsidRDefault="00551222" w:rsidP="00551222">
      <w:pPr>
        <w:pStyle w:val="Listenabsatz"/>
        <w:numPr>
          <w:ilvl w:val="0"/>
          <w:numId w:val="25"/>
        </w:numPr>
        <w:rPr>
          <w:i/>
        </w:rPr>
      </w:pPr>
      <w:r w:rsidRPr="00551222">
        <w:rPr>
          <w:i/>
        </w:rPr>
        <w:t>Arbeitnehmer*</w:t>
      </w:r>
    </w:p>
    <w:p w:rsidR="00551222" w:rsidRDefault="00551222" w:rsidP="00551222">
      <w:r>
        <w:t>* kommt auf die Abhängigkeit an</w:t>
      </w:r>
    </w:p>
    <w:p w:rsidR="00551222" w:rsidRDefault="00551222" w:rsidP="00551222"/>
    <w:p w:rsidR="00551222" w:rsidRPr="00551222" w:rsidRDefault="00551222" w:rsidP="00551222">
      <w:pPr>
        <w:tabs>
          <w:tab w:val="left" w:pos="6165"/>
        </w:tabs>
        <w:rPr>
          <w:b/>
        </w:rPr>
      </w:pPr>
      <w:r w:rsidRPr="00551222">
        <w:rPr>
          <w:b/>
        </w:rPr>
        <w:t>Bewertungsgrundsätze für Vermögen und Schulden in der Bilanz</w:t>
      </w:r>
      <w:r>
        <w:rPr>
          <w:b/>
        </w:rPr>
        <w:t xml:space="preserve"> (§ 252 Abs. 1 HGB)</w:t>
      </w:r>
    </w:p>
    <w:p w:rsidR="00551222" w:rsidRDefault="00551222" w:rsidP="003B7C89">
      <w:pPr>
        <w:pStyle w:val="Listenabsatz"/>
        <w:numPr>
          <w:ilvl w:val="0"/>
          <w:numId w:val="26"/>
        </w:numPr>
      </w:pPr>
      <w:r>
        <w:t>Bilanzidentität (Werte der Anfangsbilanz dürfen nicht von denen der Schlussbilanz des Vorjahres abweichen)</w:t>
      </w:r>
    </w:p>
    <w:p w:rsidR="00551222" w:rsidRDefault="00551222" w:rsidP="003B7C89">
      <w:pPr>
        <w:pStyle w:val="Listenabsatz"/>
        <w:numPr>
          <w:ilvl w:val="0"/>
          <w:numId w:val="26"/>
        </w:numPr>
      </w:pPr>
      <w:r>
        <w:t>Fortführungsprinzip (Es wird von der Fortführung der Unternehmenstätigkeit ausgegangen sofern weder rechtliche noch tatsächliche Gegebenheiten dieser Annahme entgegenstehen)</w:t>
      </w:r>
    </w:p>
    <w:p w:rsidR="00551222" w:rsidRDefault="00551222" w:rsidP="00551222">
      <w:pPr>
        <w:pStyle w:val="Listenabsatz"/>
        <w:numPr>
          <w:ilvl w:val="0"/>
          <w:numId w:val="26"/>
        </w:numPr>
      </w:pPr>
      <w:r>
        <w:t>Grundsatz der Einzelbewertung (Die Vermögensgegenstände und Schulden sind zum Abschlussstichtag einzeln zu bewerten)</w:t>
      </w:r>
    </w:p>
    <w:p w:rsidR="00551222" w:rsidRDefault="00551222" w:rsidP="00551222">
      <w:pPr>
        <w:pStyle w:val="Listenabsatz"/>
        <w:numPr>
          <w:ilvl w:val="0"/>
          <w:numId w:val="26"/>
        </w:numPr>
      </w:pPr>
      <w:r>
        <w:t>Vorsichtsprinzip (Alle vorhersehbaren Risiken und Verluste sind zu berücksichtigen, Gewinne sind nur zu berücksichtigen wenn sie am Abschlussstichtag realisiert sind.)</w:t>
      </w:r>
    </w:p>
    <w:p w:rsidR="00551222" w:rsidRDefault="00551222" w:rsidP="00551222">
      <w:pPr>
        <w:pStyle w:val="Listenabsatz"/>
        <w:numPr>
          <w:ilvl w:val="0"/>
          <w:numId w:val="26"/>
        </w:numPr>
      </w:pPr>
      <w:r>
        <w:t>Periodenprinzip (Aufwendungen und Erträge sind unabhängig von den Zeitpunkten der entsprechenden Zahlungen im Jahresabschluss zu berücksichtigen)</w:t>
      </w:r>
    </w:p>
    <w:p w:rsidR="00551222" w:rsidRDefault="00551222" w:rsidP="00551222">
      <w:pPr>
        <w:pStyle w:val="Listenabsatz"/>
        <w:numPr>
          <w:ilvl w:val="0"/>
          <w:numId w:val="26"/>
        </w:numPr>
      </w:pPr>
      <w:r>
        <w:t xml:space="preserve">Bewertungsstetigkeit </w:t>
      </w:r>
      <w:r w:rsidR="00533934">
        <w:t>(Die Bewertungsmethode soll nicht von der Bewertung des Vorjahres abweichen)</w:t>
      </w:r>
    </w:p>
    <w:p w:rsidR="00533934" w:rsidRDefault="00533934" w:rsidP="00533934"/>
    <w:p w:rsidR="00533934" w:rsidRPr="00533934" w:rsidRDefault="00533934" w:rsidP="00533934">
      <w:pPr>
        <w:rPr>
          <w:b/>
        </w:rPr>
      </w:pPr>
      <w:r w:rsidRPr="00533934">
        <w:rPr>
          <w:b/>
        </w:rPr>
        <w:t>Besondere Bewertungsgrundsätze für Vermögen und Schulden in der Bilanz</w:t>
      </w:r>
    </w:p>
    <w:p w:rsidR="00533934" w:rsidRPr="000A7604" w:rsidRDefault="00533934" w:rsidP="00533934">
      <w:pPr>
        <w:pStyle w:val="Listenabsatz"/>
        <w:numPr>
          <w:ilvl w:val="0"/>
          <w:numId w:val="27"/>
        </w:numPr>
        <w:rPr>
          <w:i/>
        </w:rPr>
      </w:pPr>
      <w:r>
        <w:t>Anschaffungskostenprinzip</w:t>
      </w:r>
      <w:r w:rsidR="000A7604">
        <w:t xml:space="preserve"> (Konkretisiert das Vorsichtsprinzip, Wirtschaftsgüter dürfen nur mit den Anschaffungs- und Herstellungskoten (AHK) realisiert werden.)</w:t>
      </w:r>
      <w:r w:rsidR="000A7604">
        <w:br/>
      </w:r>
      <w:r w:rsidR="000A7604" w:rsidRPr="000A7604">
        <w:rPr>
          <w:i/>
        </w:rPr>
        <w:t xml:space="preserve">Beispiel: Ein Grundstück wird zu Preis </w:t>
      </w:r>
      <m:oMath>
        <m:r>
          <w:rPr>
            <w:rFonts w:ascii="Cambria Math" w:hAnsi="Cambria Math"/>
          </w:rPr>
          <m:t>x</m:t>
        </m:r>
      </m:oMath>
      <w:r w:rsidR="000A7604">
        <w:rPr>
          <w:rFonts w:eastAsiaTheme="minorEastAsia"/>
          <w:i/>
        </w:rPr>
        <w:t xml:space="preserve"> </w:t>
      </w:r>
      <w:r w:rsidR="000A7604" w:rsidRPr="000A7604">
        <w:rPr>
          <w:i/>
        </w:rPr>
        <w:t>gekauft und dessen Wert steigt im Folgejahr. Der neue Wert darf nicht in der Bilanz auftauchen sondern es muss der Wert der Anschaffung übernommen werden.</w:t>
      </w:r>
    </w:p>
    <w:p w:rsidR="00533934" w:rsidRDefault="00533934" w:rsidP="00F139CF">
      <w:pPr>
        <w:pStyle w:val="Listenabsatz"/>
        <w:numPr>
          <w:ilvl w:val="0"/>
          <w:numId w:val="27"/>
        </w:numPr>
      </w:pPr>
      <w:r>
        <w:t>Niederstwertprinzip</w:t>
      </w:r>
      <w:r w:rsidR="00D638F7">
        <w:t xml:space="preserve"> (Aktiva/Vermögen: Muss von Marktwert oder fortgeführten Anschaffungskosten der niederste Wert genommen werden)</w:t>
      </w:r>
    </w:p>
    <w:p w:rsidR="00533934" w:rsidRPr="00D638F7" w:rsidRDefault="00533934" w:rsidP="00533934">
      <w:pPr>
        <w:pStyle w:val="Listenabsatz"/>
        <w:numPr>
          <w:ilvl w:val="0"/>
          <w:numId w:val="27"/>
        </w:numPr>
        <w:rPr>
          <w:i/>
          <w:u w:val="single"/>
        </w:rPr>
      </w:pPr>
      <w:r>
        <w:t>Höchstwertprinzip</w:t>
      </w:r>
      <w:r w:rsidR="00D638F7">
        <w:t xml:space="preserve"> (Passiva/Schulden: Muss der höchstmögliche Wert genommen werden)</w:t>
      </w:r>
    </w:p>
    <w:p w:rsidR="00D638F7" w:rsidRDefault="00D638F7" w:rsidP="00533934">
      <w:pPr>
        <w:pStyle w:val="Listenabsatz"/>
        <w:numPr>
          <w:ilvl w:val="0"/>
          <w:numId w:val="27"/>
        </w:numPr>
        <w:rPr>
          <w:i/>
          <w:u w:val="single"/>
        </w:rPr>
      </w:pPr>
      <w:r w:rsidRPr="00D638F7">
        <w:rPr>
          <w:i/>
          <w:u w:val="single"/>
        </w:rPr>
        <w:t>Wertaufholungsangebot</w:t>
      </w:r>
      <w:r w:rsidRPr="00D638F7">
        <w:rPr>
          <w:i/>
          <w:u w:val="single"/>
        </w:rPr>
        <w:t xml:space="preserve"> (???)</w:t>
      </w:r>
    </w:p>
    <w:p w:rsidR="00657BFC" w:rsidRDefault="00657BFC" w:rsidP="00657BFC"/>
    <w:p w:rsidR="00657BFC" w:rsidRDefault="00657BFC" w:rsidP="00657BFC">
      <w:pPr>
        <w:rPr>
          <w:b/>
        </w:rPr>
      </w:pPr>
      <w:r>
        <w:rPr>
          <w:b/>
        </w:rPr>
        <w:t>Analyse und Auswertung der Bilanz</w:t>
      </w:r>
    </w:p>
    <w:p w:rsidR="00657BFC" w:rsidRDefault="00657BFC" w:rsidP="00657BFC">
      <w:pPr>
        <w:pStyle w:val="Listenabsatz"/>
        <w:numPr>
          <w:ilvl w:val="0"/>
          <w:numId w:val="28"/>
        </w:numPr>
      </w:pPr>
      <w:r>
        <w:t>Zeitvergleich (Vorjahre)</w:t>
      </w:r>
    </w:p>
    <w:p w:rsidR="00657BFC" w:rsidRDefault="00657BFC" w:rsidP="00657BFC">
      <w:pPr>
        <w:pStyle w:val="Listenabsatz"/>
        <w:numPr>
          <w:ilvl w:val="0"/>
          <w:numId w:val="28"/>
        </w:numPr>
      </w:pPr>
      <w:r>
        <w:t>Branchenvergleiche (</w:t>
      </w:r>
      <w:proofErr w:type="spellStart"/>
      <w:r>
        <w:t>ander</w:t>
      </w:r>
      <w:proofErr w:type="spellEnd"/>
      <w:r>
        <w:t xml:space="preserve"> Unternehmen)</w:t>
      </w:r>
    </w:p>
    <w:p w:rsidR="00657BFC" w:rsidRDefault="00657BFC" w:rsidP="00657BFC">
      <w:pPr>
        <w:pStyle w:val="Listenabsatz"/>
        <w:numPr>
          <w:ilvl w:val="0"/>
          <w:numId w:val="28"/>
        </w:numPr>
      </w:pPr>
      <w:r>
        <w:t>Punkte die es bei der Analyse der Bilanz zu beachten gibt.</w:t>
      </w:r>
    </w:p>
    <w:p w:rsidR="00657BFC" w:rsidRDefault="00657BFC" w:rsidP="00657BFC">
      <w:pPr>
        <w:pStyle w:val="Listenabsatz"/>
        <w:numPr>
          <w:ilvl w:val="1"/>
          <w:numId w:val="28"/>
        </w:numPr>
      </w:pPr>
      <w:r>
        <w:t>Keine Stichtagsbetrachtung</w:t>
      </w:r>
    </w:p>
    <w:p w:rsidR="00657BFC" w:rsidRDefault="00657BFC" w:rsidP="00657BFC">
      <w:pPr>
        <w:pStyle w:val="Listenabsatz"/>
        <w:numPr>
          <w:ilvl w:val="1"/>
          <w:numId w:val="28"/>
        </w:numPr>
      </w:pPr>
      <w:r>
        <w:t>Vergangenheitsorientiert</w:t>
      </w:r>
    </w:p>
    <w:p w:rsidR="00657BFC" w:rsidRPr="00657BFC" w:rsidRDefault="00657BFC" w:rsidP="00657BFC">
      <w:pPr>
        <w:pStyle w:val="Listenabsatz"/>
        <w:numPr>
          <w:ilvl w:val="1"/>
          <w:numId w:val="28"/>
        </w:numPr>
      </w:pPr>
      <w:r>
        <w:t>Bestandsorientiert (Keine Bewegungen)</w:t>
      </w:r>
      <w:bookmarkStart w:id="0" w:name="_GoBack"/>
      <w:bookmarkEnd w:id="0"/>
    </w:p>
    <w:sectPr w:rsidR="00657BFC" w:rsidRPr="00657BFC" w:rsidSect="003F1B5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657BFC" w:rsidRPr="00657BFC">
      <w:rPr>
        <w:rFonts w:eastAsiaTheme="majorEastAsia"/>
        <w:b/>
        <w:noProof/>
      </w:rPr>
      <w:t>2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3F03"/>
    <w:multiLevelType w:val="hybridMultilevel"/>
    <w:tmpl w:val="29669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B73F6"/>
    <w:multiLevelType w:val="hybridMultilevel"/>
    <w:tmpl w:val="B4EA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1CED"/>
    <w:multiLevelType w:val="hybridMultilevel"/>
    <w:tmpl w:val="B52AB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2B46"/>
    <w:multiLevelType w:val="hybridMultilevel"/>
    <w:tmpl w:val="9AA07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35702"/>
    <w:multiLevelType w:val="hybridMultilevel"/>
    <w:tmpl w:val="4268E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665F4"/>
    <w:multiLevelType w:val="hybridMultilevel"/>
    <w:tmpl w:val="3FAAE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25"/>
  </w:num>
  <w:num w:numId="5">
    <w:abstractNumId w:val="19"/>
  </w:num>
  <w:num w:numId="6">
    <w:abstractNumId w:val="1"/>
  </w:num>
  <w:num w:numId="7">
    <w:abstractNumId w:val="11"/>
  </w:num>
  <w:num w:numId="8">
    <w:abstractNumId w:val="27"/>
  </w:num>
  <w:num w:numId="9">
    <w:abstractNumId w:val="13"/>
  </w:num>
  <w:num w:numId="10">
    <w:abstractNumId w:val="0"/>
  </w:num>
  <w:num w:numId="11">
    <w:abstractNumId w:val="5"/>
  </w:num>
  <w:num w:numId="12">
    <w:abstractNumId w:val="7"/>
  </w:num>
  <w:num w:numId="13">
    <w:abstractNumId w:val="24"/>
  </w:num>
  <w:num w:numId="14">
    <w:abstractNumId w:val="4"/>
  </w:num>
  <w:num w:numId="15">
    <w:abstractNumId w:val="20"/>
  </w:num>
  <w:num w:numId="16">
    <w:abstractNumId w:val="2"/>
  </w:num>
  <w:num w:numId="17">
    <w:abstractNumId w:val="15"/>
  </w:num>
  <w:num w:numId="18">
    <w:abstractNumId w:val="26"/>
  </w:num>
  <w:num w:numId="19">
    <w:abstractNumId w:val="18"/>
  </w:num>
  <w:num w:numId="20">
    <w:abstractNumId w:val="3"/>
  </w:num>
  <w:num w:numId="21">
    <w:abstractNumId w:val="9"/>
  </w:num>
  <w:num w:numId="22">
    <w:abstractNumId w:val="17"/>
  </w:num>
  <w:num w:numId="23">
    <w:abstractNumId w:val="10"/>
  </w:num>
  <w:num w:numId="24">
    <w:abstractNumId w:val="23"/>
  </w:num>
  <w:num w:numId="25">
    <w:abstractNumId w:val="16"/>
  </w:num>
  <w:num w:numId="26">
    <w:abstractNumId w:val="8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0A7604"/>
    <w:rsid w:val="00116899"/>
    <w:rsid w:val="00126848"/>
    <w:rsid w:val="00153067"/>
    <w:rsid w:val="00283286"/>
    <w:rsid w:val="003365DA"/>
    <w:rsid w:val="003F1B57"/>
    <w:rsid w:val="00533934"/>
    <w:rsid w:val="00551222"/>
    <w:rsid w:val="00657BFC"/>
    <w:rsid w:val="00685543"/>
    <w:rsid w:val="0078361D"/>
    <w:rsid w:val="008D2EA5"/>
    <w:rsid w:val="009378CB"/>
    <w:rsid w:val="00A119EC"/>
    <w:rsid w:val="00AE5737"/>
    <w:rsid w:val="00B5064A"/>
    <w:rsid w:val="00D543F1"/>
    <w:rsid w:val="00D638F7"/>
    <w:rsid w:val="00D909FB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19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19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83286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A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F2F9-BBCA-462C-9B45-06767B74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9</cp:revision>
  <cp:lastPrinted>2020-10-19T14:43:00Z</cp:lastPrinted>
  <dcterms:created xsi:type="dcterms:W3CDTF">2020-10-17T09:34:00Z</dcterms:created>
  <dcterms:modified xsi:type="dcterms:W3CDTF">2020-11-15T10:05:00Z</dcterms:modified>
</cp:coreProperties>
</file>