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6" w:rsidRDefault="00C27D73" w:rsidP="00C27D73">
      <w:pPr>
        <w:pStyle w:val="Titel"/>
      </w:pPr>
      <w:r>
        <w:t>Finanzierungsarten</w:t>
      </w:r>
    </w:p>
    <w:p w:rsidR="00C27D73" w:rsidRDefault="00C27D73" w:rsidP="00C27D7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179"/>
        <w:gridCol w:w="2221"/>
        <w:gridCol w:w="2185"/>
      </w:tblGrid>
      <w:tr w:rsidR="00C27D73" w:rsidTr="00C27D73">
        <w:tc>
          <w:tcPr>
            <w:tcW w:w="6796" w:type="dxa"/>
            <w:gridSpan w:val="3"/>
            <w:tcBorders>
              <w:bottom w:val="single" w:sz="4" w:space="0" w:color="auto"/>
            </w:tcBorders>
          </w:tcPr>
          <w:p w:rsidR="00C27D73" w:rsidRPr="00C27D73" w:rsidRDefault="00C27D73" w:rsidP="00C27D73">
            <w:pPr>
              <w:rPr>
                <w:b/>
              </w:rPr>
            </w:pPr>
            <w:r w:rsidRPr="00C27D73">
              <w:rPr>
                <w:b/>
              </w:rPr>
              <w:t>Eigenfinanzierung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</w:tcPr>
          <w:p w:rsidR="00C27D73" w:rsidRPr="00C27D73" w:rsidRDefault="00C27D73" w:rsidP="00C27D73">
            <w:pPr>
              <w:rPr>
                <w:b/>
              </w:rPr>
            </w:pPr>
            <w:r w:rsidRPr="00C27D73">
              <w:rPr>
                <w:b/>
              </w:rPr>
              <w:t>Fremdfinanzierung</w:t>
            </w:r>
          </w:p>
        </w:tc>
      </w:tr>
      <w:tr w:rsidR="00C27D73" w:rsidTr="00C27D73"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3" w:rsidRDefault="00C27D73" w:rsidP="00C27D73">
            <w:r>
              <w:t>Finanzierung aus Vermögensumschichtung</w:t>
            </w:r>
          </w:p>
          <w:p w:rsidR="00C27D73" w:rsidRDefault="00C27D73" w:rsidP="00C27D73">
            <w:pPr>
              <w:pStyle w:val="Listenabsatz"/>
              <w:numPr>
                <w:ilvl w:val="0"/>
                <w:numId w:val="26"/>
              </w:numPr>
              <w:ind w:left="313" w:hanging="313"/>
            </w:pPr>
            <w:r>
              <w:t>Abschreibung</w:t>
            </w:r>
          </w:p>
          <w:p w:rsidR="00C27D73" w:rsidRDefault="00C27D73" w:rsidP="00C27D73">
            <w:pPr>
              <w:pStyle w:val="Listenabsatz"/>
              <w:numPr>
                <w:ilvl w:val="0"/>
                <w:numId w:val="26"/>
              </w:numPr>
              <w:ind w:left="313" w:hanging="313"/>
            </w:pPr>
            <w:r>
              <w:t>Kapitalumschlag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3" w:rsidRDefault="00C27D73" w:rsidP="00C27D73">
            <w:pPr>
              <w:pStyle w:val="Listenabsatz"/>
              <w:numPr>
                <w:ilvl w:val="0"/>
                <w:numId w:val="25"/>
              </w:numPr>
              <w:ind w:left="377" w:hanging="377"/>
            </w:pPr>
            <w:r>
              <w:t>Finanzierung aus nicht entnommenen Gewinnen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3" w:rsidRDefault="00C27D73" w:rsidP="00C27D73">
            <w:pPr>
              <w:pStyle w:val="Listenabsatz"/>
              <w:numPr>
                <w:ilvl w:val="0"/>
                <w:numId w:val="25"/>
              </w:numPr>
              <w:ind w:left="251" w:hanging="251"/>
            </w:pPr>
            <w:r>
              <w:t>Einlagen der Inhaber/Teilhaber</w:t>
            </w:r>
          </w:p>
          <w:p w:rsidR="00C27D73" w:rsidRDefault="00C27D73" w:rsidP="00C27D73">
            <w:pPr>
              <w:pStyle w:val="Listenabsatz"/>
              <w:numPr>
                <w:ilvl w:val="0"/>
                <w:numId w:val="25"/>
              </w:numPr>
              <w:ind w:left="251" w:hanging="251"/>
            </w:pPr>
            <w:r>
              <w:t>Kapitalbeteiligung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D73" w:rsidRDefault="00C27D73" w:rsidP="00C27D73">
            <w:r>
              <w:t>Kreditfinanzierung</w:t>
            </w:r>
          </w:p>
          <w:p w:rsidR="00C27D73" w:rsidRDefault="00C27D73" w:rsidP="00C27D73">
            <w:pPr>
              <w:pStyle w:val="Listenabsatz"/>
              <w:numPr>
                <w:ilvl w:val="0"/>
                <w:numId w:val="24"/>
              </w:numPr>
              <w:ind w:left="269" w:hanging="269"/>
            </w:pPr>
            <w:r>
              <w:t>Kurzfristig</w:t>
            </w:r>
          </w:p>
          <w:p w:rsidR="00C27D73" w:rsidRDefault="00C27D73" w:rsidP="00C27D73">
            <w:pPr>
              <w:pStyle w:val="Listenabsatz"/>
              <w:numPr>
                <w:ilvl w:val="0"/>
                <w:numId w:val="24"/>
              </w:numPr>
              <w:ind w:left="269" w:hanging="269"/>
            </w:pPr>
            <w:r>
              <w:t>Mittelfristig</w:t>
            </w:r>
          </w:p>
          <w:p w:rsidR="00C27D73" w:rsidRDefault="00C27D73" w:rsidP="00C27D73">
            <w:pPr>
              <w:pStyle w:val="Listenabsatz"/>
              <w:numPr>
                <w:ilvl w:val="0"/>
                <w:numId w:val="24"/>
              </w:numPr>
              <w:ind w:left="269" w:hanging="269"/>
            </w:pPr>
            <w:r>
              <w:t>Langfristig</w:t>
            </w:r>
          </w:p>
          <w:p w:rsidR="00C27D73" w:rsidRDefault="00C27D73" w:rsidP="00C27D73">
            <w:pPr>
              <w:jc w:val="center"/>
            </w:pPr>
          </w:p>
        </w:tc>
      </w:tr>
      <w:tr w:rsidR="00C27D73" w:rsidTr="00C27D73">
        <w:tc>
          <w:tcPr>
            <w:tcW w:w="4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D73" w:rsidRPr="00C27D73" w:rsidRDefault="00C27D73" w:rsidP="00C27D73">
            <w:pPr>
              <w:rPr>
                <w:b/>
              </w:rPr>
            </w:pPr>
            <w:r w:rsidRPr="00C27D73">
              <w:rPr>
                <w:b/>
              </w:rPr>
              <w:t>Innenfinanzierung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D73" w:rsidRPr="00C27D73" w:rsidRDefault="00C27D73" w:rsidP="00C27D73">
            <w:pPr>
              <w:rPr>
                <w:b/>
              </w:rPr>
            </w:pPr>
            <w:r w:rsidRPr="00C27D73">
              <w:rPr>
                <w:b/>
              </w:rPr>
              <w:t>Außenfinanzierung</w:t>
            </w:r>
          </w:p>
        </w:tc>
      </w:tr>
    </w:tbl>
    <w:p w:rsidR="00C27D73" w:rsidRDefault="00C27D73" w:rsidP="00C27D73">
      <w:pPr>
        <w:tabs>
          <w:tab w:val="left" w:pos="3690"/>
        </w:tabs>
      </w:pPr>
    </w:p>
    <w:p w:rsidR="00C27D73" w:rsidRDefault="00C27D73" w:rsidP="00C27D73">
      <w:pPr>
        <w:tabs>
          <w:tab w:val="left" w:pos="3690"/>
        </w:tabs>
        <w:rPr>
          <w:b/>
        </w:rPr>
      </w:pPr>
      <w:r w:rsidRPr="00C27D73">
        <w:rPr>
          <w:b/>
        </w:rPr>
        <w:t>Kreditarten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8571"/>
      </w:tblGrid>
      <w:tr w:rsidR="00C27D73" w:rsidTr="004D07A5">
        <w:trPr>
          <w:cantSplit/>
          <w:trHeight w:val="1544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27D73" w:rsidRDefault="00C27D73" w:rsidP="004D07A5">
            <w:pPr>
              <w:tabs>
                <w:tab w:val="left" w:pos="369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Kurzfristig</w:t>
            </w:r>
          </w:p>
        </w:tc>
        <w:tc>
          <w:tcPr>
            <w:tcW w:w="8571" w:type="dxa"/>
            <w:tcBorders>
              <w:bottom w:val="single" w:sz="4" w:space="0" w:color="auto"/>
            </w:tcBorders>
          </w:tcPr>
          <w:p w:rsidR="00C27D73" w:rsidRDefault="00C27D73" w:rsidP="00C27D73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Lieferantenkredit</w:t>
            </w:r>
          </w:p>
          <w:p w:rsidR="004A4116" w:rsidRPr="004A4116" w:rsidRDefault="004A4116" w:rsidP="004A4116">
            <w:pPr>
              <w:pStyle w:val="Listenabsatz"/>
              <w:numPr>
                <w:ilvl w:val="0"/>
                <w:numId w:val="29"/>
              </w:numPr>
              <w:tabs>
                <w:tab w:val="left" w:pos="3690"/>
              </w:tabs>
              <w:rPr>
                <w:b/>
              </w:rPr>
            </w:pPr>
            <w:r>
              <w:t>Meist durch Eigentumsvorbehalt gewährter Kredit durch Gewährung eines Zahlungsziels (Verbindlichkeit)</w:t>
            </w:r>
          </w:p>
          <w:p w:rsidR="00C27D73" w:rsidRDefault="00C27D73" w:rsidP="00C27D73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Kundenkredit</w:t>
            </w:r>
          </w:p>
          <w:p w:rsidR="004A4116" w:rsidRPr="004A4116" w:rsidRDefault="004A4116" w:rsidP="004A4116">
            <w:pPr>
              <w:pStyle w:val="Listenabsatz"/>
              <w:numPr>
                <w:ilvl w:val="0"/>
                <w:numId w:val="29"/>
              </w:numPr>
              <w:tabs>
                <w:tab w:val="left" w:pos="3690"/>
              </w:tabs>
              <w:rPr>
                <w:b/>
              </w:rPr>
            </w:pPr>
            <w:r>
              <w:t>Gewährung eines Zahlungszieles an einen Kunden (Forderung)</w:t>
            </w:r>
          </w:p>
          <w:p w:rsidR="00C27D73" w:rsidRDefault="00C27D73" w:rsidP="00C27D73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Kontokorrentkredit</w:t>
            </w:r>
          </w:p>
          <w:p w:rsidR="004A4116" w:rsidRPr="004A4116" w:rsidRDefault="004D07A5" w:rsidP="004A4116">
            <w:pPr>
              <w:pStyle w:val="Listenabsatz"/>
              <w:numPr>
                <w:ilvl w:val="0"/>
                <w:numId w:val="29"/>
              </w:numPr>
              <w:tabs>
                <w:tab w:val="left" w:pos="3690"/>
              </w:tabs>
            </w:pPr>
            <w:r>
              <w:t>Wird von der Bank für das bestehende Konto gewährt als kurzfristiger Kredit von 6 Monaten oder weniger</w:t>
            </w:r>
          </w:p>
          <w:p w:rsidR="00C27D73" w:rsidRDefault="00C27D73" w:rsidP="00C27D73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Factoring</w:t>
            </w:r>
          </w:p>
          <w:p w:rsidR="004A4116" w:rsidRPr="004D07A5" w:rsidRDefault="004A4116" w:rsidP="004D07A5">
            <w:pPr>
              <w:pStyle w:val="Listenabsatz"/>
              <w:numPr>
                <w:ilvl w:val="0"/>
                <w:numId w:val="29"/>
              </w:numPr>
              <w:tabs>
                <w:tab w:val="left" w:pos="3690"/>
              </w:tabs>
              <w:rPr>
                <w:b/>
              </w:rPr>
            </w:pPr>
            <w:r>
              <w:t xml:space="preserve">Forderungen </w:t>
            </w:r>
            <w:r w:rsidR="004D07A5">
              <w:t>werden an eine Bank oder ein anderes Finanzinstitut verkauft</w:t>
            </w:r>
          </w:p>
          <w:p w:rsidR="004D07A5" w:rsidRPr="004D07A5" w:rsidRDefault="004D07A5" w:rsidP="004D07A5">
            <w:pPr>
              <w:pStyle w:val="Listenabsatz"/>
              <w:numPr>
                <w:ilvl w:val="0"/>
                <w:numId w:val="29"/>
              </w:numPr>
              <w:tabs>
                <w:tab w:val="left" w:pos="3690"/>
              </w:tabs>
              <w:rPr>
                <w:b/>
              </w:rPr>
            </w:pPr>
            <w:r>
              <w:t>Der „</w:t>
            </w:r>
            <w:proofErr w:type="spellStart"/>
            <w:r>
              <w:t>Factor</w:t>
            </w:r>
            <w:proofErr w:type="spellEnd"/>
            <w:r>
              <w:t>“ zahlt den Gegenwert der Forderungen abzüglich einer Gebühr für Zinsen, Risikoprämie und Provision</w:t>
            </w:r>
          </w:p>
          <w:p w:rsidR="004D07A5" w:rsidRPr="004A4116" w:rsidRDefault="004D07A5" w:rsidP="004D07A5">
            <w:pPr>
              <w:pStyle w:val="Listenabsatz"/>
              <w:numPr>
                <w:ilvl w:val="0"/>
                <w:numId w:val="29"/>
              </w:numPr>
              <w:tabs>
                <w:tab w:val="left" w:pos="3690"/>
              </w:tabs>
              <w:rPr>
                <w:b/>
              </w:rPr>
            </w:pPr>
            <w:r>
              <w:t>Neben dieser Finanzierungsfunktion übernehmen einige Factoring-Banken auch das Risiko der Zahlungsunfähigkeit des Forderungsschuldners, die anfallenden buchhalterischen Aktivitäten, das Mahnwesen und das Rechnungsinkasso</w:t>
            </w:r>
          </w:p>
        </w:tc>
      </w:tr>
      <w:tr w:rsidR="00C27D73" w:rsidTr="004D07A5">
        <w:trPr>
          <w:cantSplit/>
          <w:trHeight w:val="1546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27D73" w:rsidRDefault="00C27D73" w:rsidP="004D07A5">
            <w:pPr>
              <w:tabs>
                <w:tab w:val="left" w:pos="369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Langfristig</w:t>
            </w:r>
          </w:p>
        </w:tc>
        <w:tc>
          <w:tcPr>
            <w:tcW w:w="8571" w:type="dxa"/>
            <w:tcBorders>
              <w:top w:val="single" w:sz="4" w:space="0" w:color="auto"/>
            </w:tcBorders>
          </w:tcPr>
          <w:p w:rsidR="00C27D73" w:rsidRDefault="00C27D73" w:rsidP="00C27D73">
            <w:pPr>
              <w:tabs>
                <w:tab w:val="left" w:pos="3690"/>
              </w:tabs>
              <w:rPr>
                <w:b/>
              </w:rPr>
            </w:pPr>
            <w:r>
              <w:rPr>
                <w:b/>
              </w:rPr>
              <w:t>Darlehen</w:t>
            </w:r>
          </w:p>
          <w:p w:rsidR="004A4116" w:rsidRPr="004A4116" w:rsidRDefault="004A4116" w:rsidP="004A4116">
            <w:pPr>
              <w:pStyle w:val="Listenabsatz"/>
              <w:numPr>
                <w:ilvl w:val="0"/>
                <w:numId w:val="28"/>
              </w:numPr>
              <w:tabs>
                <w:tab w:val="left" w:pos="3690"/>
              </w:tabs>
              <w:rPr>
                <w:b/>
              </w:rPr>
            </w:pPr>
            <w:r>
              <w:t>Gegenseitiger Vertrag bei dem die eine Vertragspartei der anderen entweder Geld oder Sachen auf Zeit und zum Gebrauch überlässt</w:t>
            </w:r>
          </w:p>
        </w:tc>
      </w:tr>
    </w:tbl>
    <w:p w:rsidR="004D07A5" w:rsidRDefault="004D07A5" w:rsidP="00C27D73">
      <w:pPr>
        <w:tabs>
          <w:tab w:val="left" w:pos="3690"/>
        </w:tabs>
        <w:rPr>
          <w:b/>
        </w:rPr>
      </w:pPr>
    </w:p>
    <w:p w:rsidR="004D07A5" w:rsidRDefault="004D07A5" w:rsidP="004D07A5">
      <w:r>
        <w:br w:type="page"/>
      </w:r>
    </w:p>
    <w:p w:rsidR="004D07A5" w:rsidRDefault="004D07A5" w:rsidP="004D07A5">
      <w:pPr>
        <w:pStyle w:val="Titel"/>
      </w:pPr>
      <w:r w:rsidRPr="004D07A5">
        <w:lastRenderedPageBreak/>
        <w:t>Kreditsicherheit</w:t>
      </w:r>
      <w:r>
        <w:t>en</w:t>
      </w:r>
    </w:p>
    <w:p w:rsidR="004D07A5" w:rsidRDefault="004D07A5" w:rsidP="004D07A5">
      <w:pPr>
        <w:pStyle w:val="Listenabsatz"/>
        <w:numPr>
          <w:ilvl w:val="0"/>
          <w:numId w:val="28"/>
        </w:numPr>
      </w:pPr>
      <w:r>
        <w:t>Kreditwürdigkeit</w:t>
      </w:r>
    </w:p>
    <w:p w:rsidR="004D07A5" w:rsidRDefault="004D07A5" w:rsidP="004D07A5">
      <w:pPr>
        <w:pStyle w:val="Listenabsatz"/>
        <w:numPr>
          <w:ilvl w:val="0"/>
          <w:numId w:val="28"/>
        </w:numPr>
      </w:pPr>
      <w:r>
        <w:t>Schufa</w:t>
      </w:r>
    </w:p>
    <w:p w:rsidR="004D07A5" w:rsidRDefault="004D07A5" w:rsidP="004D07A5">
      <w:pPr>
        <w:pStyle w:val="Listenabsatz"/>
        <w:numPr>
          <w:ilvl w:val="0"/>
          <w:numId w:val="28"/>
        </w:numPr>
      </w:pPr>
      <w:r>
        <w:t>Rückzahlung</w:t>
      </w:r>
    </w:p>
    <w:p w:rsidR="004D07A5" w:rsidRDefault="004D07A5" w:rsidP="004D07A5">
      <w:pPr>
        <w:pStyle w:val="Listenabsatz"/>
        <w:numPr>
          <w:ilvl w:val="0"/>
          <w:numId w:val="28"/>
        </w:numPr>
      </w:pPr>
      <w:r>
        <w:t>Vertragsschließung</w:t>
      </w:r>
    </w:p>
    <w:p w:rsidR="004D07A5" w:rsidRDefault="004D07A5" w:rsidP="004D07A5">
      <w:pPr>
        <w:pStyle w:val="Listenabsatz"/>
        <w:numPr>
          <w:ilvl w:val="0"/>
          <w:numId w:val="28"/>
        </w:numPr>
      </w:pPr>
      <w:r>
        <w:t>Vertrauen</w:t>
      </w:r>
    </w:p>
    <w:p w:rsidR="004D07A5" w:rsidRDefault="004D07A5" w:rsidP="004D07A5"/>
    <w:p w:rsidR="004D07A5" w:rsidRDefault="004D07A5" w:rsidP="004D07A5">
      <w:pPr>
        <w:rPr>
          <w:b/>
        </w:rPr>
      </w:pPr>
      <w:bookmarkStart w:id="0" w:name="_GoBack"/>
      <w:r w:rsidRPr="004D07A5">
        <w:rPr>
          <w:b/>
        </w:rPr>
        <w:t>Kreditsicherheitsarten</w:t>
      </w:r>
      <w:r>
        <w:rPr>
          <w:b/>
        </w:rPr>
        <w:t xml:space="preserve"> /Sachsicherheiten aus dem Vermögen…</w:t>
      </w:r>
    </w:p>
    <w:p w:rsidR="004D07A5" w:rsidRDefault="004D07A5" w:rsidP="004D07A5">
      <w:r>
        <w:t>Des Kreditnehmers</w:t>
      </w:r>
    </w:p>
    <w:p w:rsidR="004D07A5" w:rsidRDefault="004D07A5" w:rsidP="004D07A5">
      <w:pPr>
        <w:pStyle w:val="Listenabsatz"/>
        <w:numPr>
          <w:ilvl w:val="0"/>
          <w:numId w:val="30"/>
        </w:numPr>
      </w:pPr>
      <w:r>
        <w:t>Abtretung/Pfändung</w:t>
      </w:r>
    </w:p>
    <w:p w:rsidR="004D07A5" w:rsidRDefault="004D07A5" w:rsidP="004D07A5">
      <w:pPr>
        <w:pStyle w:val="Listenabsatz"/>
        <w:numPr>
          <w:ilvl w:val="0"/>
          <w:numId w:val="30"/>
        </w:numPr>
      </w:pPr>
      <w:r>
        <w:t>Sicherungsübereignung von beweglichen Sachen (Abgeben des Eigentums an ein Kreditinstitut, Besitzer bleibt gleich)</w:t>
      </w:r>
    </w:p>
    <w:p w:rsidR="004D07A5" w:rsidRDefault="004D07A5" w:rsidP="004D07A5">
      <w:pPr>
        <w:pStyle w:val="Listenabsatz"/>
        <w:numPr>
          <w:ilvl w:val="0"/>
          <w:numId w:val="30"/>
        </w:numPr>
      </w:pPr>
      <w:r>
        <w:t>Verpfändung von beweglichen Sachen</w:t>
      </w:r>
    </w:p>
    <w:p w:rsidR="004D07A5" w:rsidRDefault="004D07A5" w:rsidP="004D07A5">
      <w:pPr>
        <w:pStyle w:val="Listenabsatz"/>
        <w:numPr>
          <w:ilvl w:val="0"/>
          <w:numId w:val="30"/>
        </w:numPr>
      </w:pPr>
      <w:r>
        <w:t>Verpfändung von Grundstücken</w:t>
      </w:r>
    </w:p>
    <w:bookmarkEnd w:id="0"/>
    <w:p w:rsidR="004D07A5" w:rsidRDefault="004D07A5" w:rsidP="004D07A5"/>
    <w:p w:rsidR="004D07A5" w:rsidRDefault="004D07A5" w:rsidP="004D07A5">
      <w:pPr>
        <w:pStyle w:val="Titel"/>
      </w:pPr>
      <w:r>
        <w:t>Bürgschaften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07A5" w:rsidTr="00FE642F">
        <w:tc>
          <w:tcPr>
            <w:tcW w:w="4531" w:type="dxa"/>
          </w:tcPr>
          <w:p w:rsidR="004D07A5" w:rsidRPr="004D07A5" w:rsidRDefault="004D07A5" w:rsidP="004D07A5">
            <w:pPr>
              <w:rPr>
                <w:b/>
              </w:rPr>
            </w:pPr>
            <w:r w:rsidRPr="004D07A5">
              <w:rPr>
                <w:b/>
              </w:rPr>
              <w:t>Gewöhnliche Bürgschaft ohne Ausfallbürgschaft</w:t>
            </w:r>
          </w:p>
          <w:p w:rsidR="004D07A5" w:rsidRDefault="004D07A5" w:rsidP="004D07A5">
            <w:pPr>
              <w:pStyle w:val="Listenabsatz"/>
              <w:numPr>
                <w:ilvl w:val="0"/>
                <w:numId w:val="31"/>
              </w:numPr>
            </w:pPr>
            <w:r>
              <w:t>Gläubiger erhebt Klage gegen Schuldner</w:t>
            </w:r>
            <w:r>
              <w:br/>
            </w:r>
            <w:r>
              <w:br/>
              <w:t>nach erfolgloser Zwangsvollstreckung</w:t>
            </w:r>
            <w:r>
              <w:br/>
            </w:r>
          </w:p>
          <w:p w:rsidR="004D07A5" w:rsidRDefault="004D07A5" w:rsidP="004D07A5">
            <w:pPr>
              <w:pStyle w:val="Listenabsatz"/>
              <w:numPr>
                <w:ilvl w:val="0"/>
                <w:numId w:val="31"/>
              </w:numPr>
            </w:pPr>
            <w:r>
              <w:t>Bürge wird in Anspruch genommen</w:t>
            </w:r>
          </w:p>
        </w:tc>
        <w:tc>
          <w:tcPr>
            <w:tcW w:w="4531" w:type="dxa"/>
          </w:tcPr>
          <w:p w:rsidR="004D07A5" w:rsidRPr="00FE642F" w:rsidRDefault="004D07A5" w:rsidP="004D07A5">
            <w:pPr>
              <w:rPr>
                <w:b/>
              </w:rPr>
            </w:pPr>
            <w:r w:rsidRPr="00FE642F">
              <w:rPr>
                <w:b/>
              </w:rPr>
              <w:t>Selbstschuldnerische Bürgschaft</w:t>
            </w:r>
          </w:p>
          <w:p w:rsidR="00FE642F" w:rsidRDefault="00FE642F" w:rsidP="004D07A5"/>
          <w:p w:rsidR="004D07A5" w:rsidRDefault="00FE642F" w:rsidP="00FE642F">
            <w:pPr>
              <w:pStyle w:val="Listenabsatz"/>
              <w:numPr>
                <w:ilvl w:val="0"/>
                <w:numId w:val="32"/>
              </w:numPr>
            </w:pPr>
            <w:r>
              <w:t>Bürge ist sofort zur Zahlung verpflichtet</w:t>
            </w:r>
          </w:p>
          <w:p w:rsidR="00FE642F" w:rsidRDefault="00FE642F" w:rsidP="00FE642F">
            <w:pPr>
              <w:pStyle w:val="Listenabsatz"/>
            </w:pPr>
            <w:r>
              <w:t>Bürge haftet wie der Hauptschuldner</w:t>
            </w:r>
          </w:p>
        </w:tc>
      </w:tr>
    </w:tbl>
    <w:p w:rsidR="004D07A5" w:rsidRDefault="00D72D11" w:rsidP="00D72D11">
      <w:pPr>
        <w:tabs>
          <w:tab w:val="left" w:pos="3780"/>
        </w:tabs>
      </w:pPr>
      <w:r>
        <w:tab/>
      </w:r>
    </w:p>
    <w:p w:rsidR="00FE642F" w:rsidRDefault="00FE642F" w:rsidP="004D07A5">
      <w:pPr>
        <w:rPr>
          <w:b/>
        </w:rPr>
      </w:pPr>
      <w:r w:rsidRPr="00FE642F">
        <w:rPr>
          <w:b/>
        </w:rPr>
        <w:t>Vor- und Nachteile einer Bürgschaft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642F" w:rsidTr="00FE642F">
        <w:tc>
          <w:tcPr>
            <w:tcW w:w="4531" w:type="dxa"/>
          </w:tcPr>
          <w:p w:rsidR="00FE642F" w:rsidRDefault="00FE642F" w:rsidP="004D07A5">
            <w:pPr>
              <w:rPr>
                <w:b/>
              </w:rPr>
            </w:pPr>
            <w:r>
              <w:rPr>
                <w:b/>
              </w:rPr>
              <w:t>Vorteile</w:t>
            </w:r>
          </w:p>
          <w:p w:rsidR="00FE642F" w:rsidRDefault="00FE642F" w:rsidP="00FE642F">
            <w:pPr>
              <w:pStyle w:val="Listenabsatz"/>
              <w:numPr>
                <w:ilvl w:val="0"/>
                <w:numId w:val="34"/>
              </w:numPr>
            </w:pPr>
            <w:r>
              <w:t>Kreditinstitut erhält Rückzahlung</w:t>
            </w:r>
          </w:p>
          <w:p w:rsidR="00FE642F" w:rsidRPr="00FE642F" w:rsidRDefault="00FE642F" w:rsidP="00FE642F">
            <w:pPr>
              <w:pStyle w:val="Listenabsatz"/>
              <w:numPr>
                <w:ilvl w:val="0"/>
                <w:numId w:val="34"/>
              </w:numPr>
            </w:pPr>
            <w:r>
              <w:t>Kreditnehmer hat Chance auf einen Kredit</w:t>
            </w:r>
          </w:p>
        </w:tc>
        <w:tc>
          <w:tcPr>
            <w:tcW w:w="4531" w:type="dxa"/>
          </w:tcPr>
          <w:p w:rsidR="00FE642F" w:rsidRDefault="00FE642F" w:rsidP="004D07A5">
            <w:pPr>
              <w:rPr>
                <w:b/>
              </w:rPr>
            </w:pPr>
            <w:r>
              <w:rPr>
                <w:b/>
              </w:rPr>
              <w:t>Nachteile</w:t>
            </w:r>
          </w:p>
          <w:p w:rsidR="00FE642F" w:rsidRDefault="00FE642F" w:rsidP="00FE642F">
            <w:pPr>
              <w:pStyle w:val="Listenabsatz"/>
              <w:numPr>
                <w:ilvl w:val="0"/>
                <w:numId w:val="33"/>
              </w:numPr>
            </w:pPr>
            <w:r>
              <w:t>Bürge trägt hohe Verantwortungslast</w:t>
            </w:r>
          </w:p>
          <w:p w:rsidR="00FE642F" w:rsidRPr="00FE642F" w:rsidRDefault="00FE642F" w:rsidP="00FE642F">
            <w:pPr>
              <w:pStyle w:val="Listenabsatz"/>
              <w:numPr>
                <w:ilvl w:val="0"/>
                <w:numId w:val="33"/>
              </w:numPr>
            </w:pPr>
            <w:r>
              <w:t>Freundschaftsabbruch/Streit</w:t>
            </w:r>
          </w:p>
        </w:tc>
      </w:tr>
    </w:tbl>
    <w:p w:rsidR="00FE642F" w:rsidRDefault="00FE642F" w:rsidP="004D07A5">
      <w:pPr>
        <w:rPr>
          <w:b/>
        </w:rPr>
      </w:pPr>
    </w:p>
    <w:p w:rsidR="00FE642F" w:rsidRDefault="00FE642F" w:rsidP="00FE642F">
      <w:pPr>
        <w:pStyle w:val="Titel"/>
      </w:pPr>
      <w:r>
        <w:t>Leasing</w:t>
      </w:r>
    </w:p>
    <w:p w:rsidR="00FE642F" w:rsidRDefault="00FE642F" w:rsidP="00FE642F">
      <w:pPr>
        <w:pStyle w:val="Listenabsatz"/>
        <w:numPr>
          <w:ilvl w:val="0"/>
          <w:numId w:val="35"/>
        </w:numPr>
      </w:pPr>
      <w:r>
        <w:t>Das Nutzungsrecht am jeweiligen Anlagegut wird erworben</w:t>
      </w:r>
    </w:p>
    <w:p w:rsidR="00FE642F" w:rsidRDefault="00FE642F" w:rsidP="00FE642F">
      <w:pPr>
        <w:pStyle w:val="Listenabsatz"/>
        <w:numPr>
          <w:ilvl w:val="0"/>
          <w:numId w:val="35"/>
        </w:numPr>
      </w:pPr>
      <w:r>
        <w:t>Mietkauf mit Optionsrecht</w:t>
      </w:r>
    </w:p>
    <w:p w:rsidR="00FE642F" w:rsidRPr="00FE642F" w:rsidRDefault="00FE642F" w:rsidP="00FE642F">
      <w:pPr>
        <w:pStyle w:val="Listenabsatz"/>
        <w:numPr>
          <w:ilvl w:val="0"/>
          <w:numId w:val="35"/>
        </w:numPr>
      </w:pPr>
      <w:r>
        <w:t>Gegenüber der Miete ist der Leasingnehmer für die Dauer der Nutzung für Wartung und Instandsetzung verantwortlich</w:t>
      </w:r>
    </w:p>
    <w:sectPr w:rsidR="00FE642F" w:rsidRPr="00FE642F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D72D11" w:rsidRPr="00D72D11">
      <w:rPr>
        <w:rFonts w:eastAsiaTheme="majorEastAsia"/>
        <w:b/>
        <w:noProof/>
      </w:rPr>
      <w:t>2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20E3"/>
    <w:multiLevelType w:val="hybridMultilevel"/>
    <w:tmpl w:val="A43C0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0D06"/>
    <w:multiLevelType w:val="hybridMultilevel"/>
    <w:tmpl w:val="80AA7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0D31"/>
    <w:multiLevelType w:val="hybridMultilevel"/>
    <w:tmpl w:val="ECF8A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41D6"/>
    <w:multiLevelType w:val="hybridMultilevel"/>
    <w:tmpl w:val="0080A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2D49"/>
    <w:multiLevelType w:val="hybridMultilevel"/>
    <w:tmpl w:val="59581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15478"/>
    <w:multiLevelType w:val="hybridMultilevel"/>
    <w:tmpl w:val="AC22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7235"/>
    <w:multiLevelType w:val="hybridMultilevel"/>
    <w:tmpl w:val="5B4C0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7581C"/>
    <w:multiLevelType w:val="hybridMultilevel"/>
    <w:tmpl w:val="D9FE66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CC57B7"/>
    <w:multiLevelType w:val="hybridMultilevel"/>
    <w:tmpl w:val="199E3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77B3A"/>
    <w:multiLevelType w:val="hybridMultilevel"/>
    <w:tmpl w:val="6E484E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8A1"/>
    <w:multiLevelType w:val="hybridMultilevel"/>
    <w:tmpl w:val="56D22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519C8"/>
    <w:multiLevelType w:val="hybridMultilevel"/>
    <w:tmpl w:val="7B140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31"/>
  </w:num>
  <w:num w:numId="5">
    <w:abstractNumId w:val="24"/>
  </w:num>
  <w:num w:numId="6">
    <w:abstractNumId w:val="1"/>
  </w:num>
  <w:num w:numId="7">
    <w:abstractNumId w:val="15"/>
  </w:num>
  <w:num w:numId="8">
    <w:abstractNumId w:val="34"/>
  </w:num>
  <w:num w:numId="9">
    <w:abstractNumId w:val="16"/>
  </w:num>
  <w:num w:numId="10">
    <w:abstractNumId w:val="0"/>
  </w:num>
  <w:num w:numId="11">
    <w:abstractNumId w:val="7"/>
  </w:num>
  <w:num w:numId="12">
    <w:abstractNumId w:val="9"/>
  </w:num>
  <w:num w:numId="13">
    <w:abstractNumId w:val="28"/>
  </w:num>
  <w:num w:numId="14">
    <w:abstractNumId w:val="5"/>
  </w:num>
  <w:num w:numId="15">
    <w:abstractNumId w:val="25"/>
  </w:num>
  <w:num w:numId="16">
    <w:abstractNumId w:val="3"/>
  </w:num>
  <w:num w:numId="17">
    <w:abstractNumId w:val="19"/>
  </w:num>
  <w:num w:numId="18">
    <w:abstractNumId w:val="32"/>
  </w:num>
  <w:num w:numId="19">
    <w:abstractNumId w:val="23"/>
  </w:num>
  <w:num w:numId="20">
    <w:abstractNumId w:val="4"/>
  </w:num>
  <w:num w:numId="21">
    <w:abstractNumId w:val="13"/>
  </w:num>
  <w:num w:numId="22">
    <w:abstractNumId w:val="21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30"/>
  </w:num>
  <w:num w:numId="28">
    <w:abstractNumId w:val="22"/>
  </w:num>
  <w:num w:numId="29">
    <w:abstractNumId w:val="12"/>
  </w:num>
  <w:num w:numId="30">
    <w:abstractNumId w:val="6"/>
  </w:num>
  <w:num w:numId="31">
    <w:abstractNumId w:val="20"/>
  </w:num>
  <w:num w:numId="32">
    <w:abstractNumId w:val="29"/>
  </w:num>
  <w:num w:numId="33">
    <w:abstractNumId w:val="17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53067"/>
    <w:rsid w:val="00283286"/>
    <w:rsid w:val="003365DA"/>
    <w:rsid w:val="003F1B57"/>
    <w:rsid w:val="004A4116"/>
    <w:rsid w:val="004D07A5"/>
    <w:rsid w:val="00685543"/>
    <w:rsid w:val="0078361D"/>
    <w:rsid w:val="008D2EA5"/>
    <w:rsid w:val="009378CB"/>
    <w:rsid w:val="00A119EC"/>
    <w:rsid w:val="00AE5737"/>
    <w:rsid w:val="00B5064A"/>
    <w:rsid w:val="00C27D73"/>
    <w:rsid w:val="00D543F1"/>
    <w:rsid w:val="00D72D11"/>
    <w:rsid w:val="00D909FB"/>
    <w:rsid w:val="00F356AB"/>
    <w:rsid w:val="00FB3FFA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5F4A-32F8-4272-A63D-A0499DF2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9</cp:revision>
  <cp:lastPrinted>2020-10-19T14:43:00Z</cp:lastPrinted>
  <dcterms:created xsi:type="dcterms:W3CDTF">2020-10-17T09:34:00Z</dcterms:created>
  <dcterms:modified xsi:type="dcterms:W3CDTF">2020-11-22T16:10:00Z</dcterms:modified>
</cp:coreProperties>
</file>