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86" w:rsidRDefault="00CF524E" w:rsidP="00CF524E">
      <w:pPr>
        <w:pStyle w:val="Titel"/>
      </w:pPr>
      <w:bookmarkStart w:id="0" w:name="_GoBack"/>
      <w:r>
        <w:t>Bilanzkennzahlen</w:t>
      </w:r>
    </w:p>
    <w:p w:rsidR="00947341" w:rsidRPr="00947341" w:rsidRDefault="00947341" w:rsidP="00947341">
      <w:r>
        <w:t>Vergleichen und Entscheidungen treffen.</w:t>
      </w:r>
    </w:p>
    <w:p w:rsidR="000C74BD" w:rsidRPr="000C74BD" w:rsidRDefault="000C74BD" w:rsidP="000C74BD"/>
    <w:tbl>
      <w:tblPr>
        <w:tblStyle w:val="EinfacheTabelle5"/>
        <w:tblW w:w="0" w:type="auto"/>
        <w:tblLook w:val="0480" w:firstRow="0" w:lastRow="0" w:firstColumn="1" w:lastColumn="0" w:noHBand="0" w:noVBand="1"/>
      </w:tblPr>
      <w:tblGrid>
        <w:gridCol w:w="2649"/>
        <w:gridCol w:w="3103"/>
        <w:gridCol w:w="2727"/>
        <w:gridCol w:w="593"/>
      </w:tblGrid>
      <w:tr w:rsidR="00594E5D" w:rsidTr="00665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A9257C" w:rsidRPr="00CF524E" w:rsidRDefault="00A9257C" w:rsidP="00594E5D">
            <w:pPr>
              <w:jc w:val="left"/>
              <w:rPr>
                <w:b/>
              </w:rPr>
            </w:pPr>
            <w:r w:rsidRPr="00CF524E">
              <w:rPr>
                <w:b/>
              </w:rPr>
              <w:t>Anlagequote</w:t>
            </w:r>
          </w:p>
        </w:tc>
        <w:tc>
          <w:tcPr>
            <w:tcW w:w="3572" w:type="dxa"/>
            <w:vAlign w:val="center"/>
          </w:tcPr>
          <w:p w:rsidR="00A9257C" w:rsidRDefault="00A9257C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Geringe Quote: Alte Maschinen, Abgeschriebenes Anlagevermögen</w:t>
            </w:r>
          </w:p>
          <w:p w:rsidR="00A9257C" w:rsidRPr="00CF524E" w:rsidRDefault="00A9257C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Hohe Quote: </w:t>
            </w:r>
            <w:proofErr w:type="spellStart"/>
            <w:r>
              <w:t>Konjukturempfindlicher</w:t>
            </w:r>
            <w:proofErr w:type="spellEnd"/>
          </w:p>
        </w:tc>
        <w:tc>
          <w:tcPr>
            <w:tcW w:w="2727" w:type="dxa"/>
            <w:vAlign w:val="center"/>
          </w:tcPr>
          <w:p w:rsidR="00A9257C" w:rsidRPr="00CF524E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Anlagevermögen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Bilanzsumme</m:t>
                    </m:r>
                  </m:den>
                </m:f>
              </m:oMath>
            </m:oMathPara>
          </w:p>
        </w:tc>
        <w:tc>
          <w:tcPr>
            <w:tcW w:w="652" w:type="dxa"/>
            <w:vMerge w:val="restart"/>
            <w:textDirection w:val="tbRl"/>
          </w:tcPr>
          <w:p w:rsidR="00A9257C" w:rsidRPr="00A9257C" w:rsidRDefault="00A9257C" w:rsidP="00A9257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A9257C">
              <w:rPr>
                <w:rFonts w:ascii="Calibri" w:eastAsia="Calibri" w:hAnsi="Calibri" w:cs="Times New Roman"/>
                <w:b/>
              </w:rPr>
              <w:t>Vermögensstrukturanalyse (Aktiva)</w:t>
            </w:r>
          </w:p>
        </w:tc>
      </w:tr>
      <w:tr w:rsidR="00594E5D" w:rsidTr="00202101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A9257C" w:rsidRPr="00CF524E" w:rsidRDefault="00A9257C" w:rsidP="00594E5D">
            <w:pPr>
              <w:jc w:val="left"/>
              <w:rPr>
                <w:b/>
              </w:rPr>
            </w:pPr>
            <w:r w:rsidRPr="00CF524E">
              <w:rPr>
                <w:b/>
              </w:rPr>
              <w:t>Umlaufquote</w:t>
            </w:r>
          </w:p>
        </w:tc>
        <w:tc>
          <w:tcPr>
            <w:tcW w:w="3572" w:type="dxa"/>
            <w:vAlign w:val="center"/>
          </w:tcPr>
          <w:p w:rsidR="00A9257C" w:rsidRPr="00E806D7" w:rsidRDefault="00A9257C" w:rsidP="0020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t>Weist darauf hin, dass viel Vermögen im Umlauf ist, was die Flexibilität der Preisgestaltung erhöht</w:t>
            </w:r>
          </w:p>
        </w:tc>
        <w:tc>
          <w:tcPr>
            <w:tcW w:w="2727" w:type="dxa"/>
            <w:vAlign w:val="center"/>
          </w:tcPr>
          <w:p w:rsidR="00A9257C" w:rsidRDefault="00483B9F" w:rsidP="0059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Umlaufvermögen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Bilanzsumme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A9257C" w:rsidRPr="00E806D7" w:rsidRDefault="00A9257C" w:rsidP="00CF5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594E5D" w:rsidTr="0020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A9257C" w:rsidRPr="00CF524E" w:rsidRDefault="00A9257C" w:rsidP="00594E5D">
            <w:pPr>
              <w:jc w:val="left"/>
              <w:rPr>
                <w:b/>
              </w:rPr>
            </w:pPr>
            <w:r w:rsidRPr="00CF524E">
              <w:rPr>
                <w:b/>
              </w:rPr>
              <w:t>Vorratsquote</w:t>
            </w:r>
          </w:p>
        </w:tc>
        <w:tc>
          <w:tcPr>
            <w:tcW w:w="3572" w:type="dxa"/>
            <w:vAlign w:val="center"/>
          </w:tcPr>
          <w:p w:rsidR="00A9257C" w:rsidRDefault="00A9257C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Geringe Quote: Hohe Kapitalbindung</w:t>
            </w:r>
          </w:p>
          <w:p w:rsidR="00A9257C" w:rsidRDefault="00A9257C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Hohe Quote: ständige Lieferbereitschaft</w:t>
            </w:r>
          </w:p>
          <w:p w:rsidR="00A9257C" w:rsidRPr="00CF524E" w:rsidRDefault="00A9257C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Dazu zählt Material sowie Fertige und unfertige Erzeugnisse</w:t>
            </w:r>
          </w:p>
        </w:tc>
        <w:tc>
          <w:tcPr>
            <w:tcW w:w="2727" w:type="dxa"/>
            <w:vAlign w:val="center"/>
          </w:tcPr>
          <w:p w:rsidR="00A9257C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Vorräte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Bilanzsumme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A9257C" w:rsidRPr="00E806D7" w:rsidRDefault="00A9257C" w:rsidP="00CF5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  <w:tr w:rsidR="00594E5D" w:rsidTr="00202101">
        <w:trPr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A9257C" w:rsidRPr="00CF524E" w:rsidRDefault="00A9257C" w:rsidP="00594E5D">
            <w:pPr>
              <w:jc w:val="left"/>
              <w:rPr>
                <w:b/>
              </w:rPr>
            </w:pPr>
            <w:r>
              <w:rPr>
                <w:b/>
              </w:rPr>
              <w:t>Forderungsquote</w:t>
            </w:r>
          </w:p>
        </w:tc>
        <w:tc>
          <w:tcPr>
            <w:tcW w:w="3572" w:type="dxa"/>
            <w:vAlign w:val="center"/>
          </w:tcPr>
          <w:p w:rsidR="00A9257C" w:rsidRDefault="00A9257C" w:rsidP="0020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Angemessenes Verhältnis angebracht, hohe Quote weist auf schlechtes/langes Mahnwesen hin.</w:t>
            </w:r>
          </w:p>
        </w:tc>
        <w:tc>
          <w:tcPr>
            <w:tcW w:w="2727" w:type="dxa"/>
            <w:vAlign w:val="center"/>
          </w:tcPr>
          <w:p w:rsidR="00A9257C" w:rsidRDefault="00483B9F" w:rsidP="0059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Kundenforderungen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Bilanzsumme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A9257C" w:rsidRPr="00E806D7" w:rsidRDefault="00A9257C" w:rsidP="00CF5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594E5D" w:rsidTr="0020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A9257C" w:rsidRPr="00CF524E" w:rsidRDefault="00A9257C" w:rsidP="00594E5D">
            <w:pPr>
              <w:jc w:val="left"/>
              <w:rPr>
                <w:b/>
              </w:rPr>
            </w:pPr>
            <w:r>
              <w:rPr>
                <w:b/>
              </w:rPr>
              <w:t>Quote liquider Mittel</w:t>
            </w:r>
          </w:p>
        </w:tc>
        <w:tc>
          <w:tcPr>
            <w:tcW w:w="3572" w:type="dxa"/>
            <w:vAlign w:val="center"/>
          </w:tcPr>
          <w:p w:rsidR="00A9257C" w:rsidRDefault="00A9257C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Gute Liquidität ist überlebenswichtig, hohe Liquidität wirft die Frage auf, dass Geld sinnvoller zu nutzen.</w:t>
            </w:r>
          </w:p>
        </w:tc>
        <w:tc>
          <w:tcPr>
            <w:tcW w:w="2727" w:type="dxa"/>
            <w:vAlign w:val="center"/>
          </w:tcPr>
          <w:p w:rsidR="00A9257C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Liquide Mittel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Bilanzsumme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A9257C" w:rsidRPr="00E806D7" w:rsidRDefault="00A9257C" w:rsidP="00A92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594E5D" w:rsidTr="00202101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5E7FF5" w:rsidRPr="00CF524E" w:rsidRDefault="005E7FF5" w:rsidP="00594E5D">
            <w:pPr>
              <w:jc w:val="left"/>
              <w:rPr>
                <w:b/>
              </w:rPr>
            </w:pPr>
            <w:r>
              <w:rPr>
                <w:b/>
              </w:rPr>
              <w:t>Eigenkapitalquote</w:t>
            </w:r>
          </w:p>
        </w:tc>
        <w:tc>
          <w:tcPr>
            <w:tcW w:w="3572" w:type="dxa"/>
            <w:vAlign w:val="center"/>
          </w:tcPr>
          <w:p w:rsidR="005E7FF5" w:rsidRDefault="005E7FF5" w:rsidP="0020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Hier muss berücksichtigt werden, welche Gesellschaftsform das Unternehmen hat</w:t>
            </w:r>
          </w:p>
        </w:tc>
        <w:tc>
          <w:tcPr>
            <w:tcW w:w="2727" w:type="dxa"/>
            <w:vAlign w:val="center"/>
          </w:tcPr>
          <w:p w:rsidR="005E7FF5" w:rsidRDefault="00483B9F" w:rsidP="0059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Eigenkapital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Bilanzsumme</m:t>
                    </m:r>
                  </m:den>
                </m:f>
              </m:oMath>
            </m:oMathPara>
          </w:p>
        </w:tc>
        <w:tc>
          <w:tcPr>
            <w:tcW w:w="652" w:type="dxa"/>
            <w:vMerge w:val="restart"/>
            <w:textDirection w:val="tbRl"/>
          </w:tcPr>
          <w:p w:rsidR="005E7FF5" w:rsidRPr="005E7FF5" w:rsidRDefault="005E7FF5" w:rsidP="005E7FF5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7FF5">
              <w:rPr>
                <w:b/>
              </w:rPr>
              <w:t>Kapitalstrukturanalyse (Passiva)</w:t>
            </w:r>
          </w:p>
        </w:tc>
      </w:tr>
      <w:tr w:rsidR="00594E5D" w:rsidTr="0020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5E7FF5" w:rsidRPr="00CF524E" w:rsidRDefault="005E7FF5" w:rsidP="00594E5D">
            <w:pPr>
              <w:jc w:val="left"/>
              <w:rPr>
                <w:b/>
              </w:rPr>
            </w:pPr>
            <w:r>
              <w:rPr>
                <w:b/>
              </w:rPr>
              <w:t>Fremdkapitalquote</w:t>
            </w:r>
          </w:p>
        </w:tc>
        <w:tc>
          <w:tcPr>
            <w:tcW w:w="3572" w:type="dxa"/>
            <w:vAlign w:val="center"/>
          </w:tcPr>
          <w:p w:rsidR="005E7FF5" w:rsidRDefault="005E7FF5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 abhängig das Unternehmen von seinen Gläubigern ist.</w:t>
            </w:r>
          </w:p>
        </w:tc>
        <w:tc>
          <w:tcPr>
            <w:tcW w:w="2727" w:type="dxa"/>
            <w:vAlign w:val="center"/>
          </w:tcPr>
          <w:p w:rsidR="005E7FF5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Fremdkapital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Bilanzsumme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5E7FF5" w:rsidRDefault="005E7FF5" w:rsidP="00CF5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E5D" w:rsidTr="00202101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5E7FF5" w:rsidRPr="00CF524E" w:rsidRDefault="005E7FF5" w:rsidP="00594E5D">
            <w:pPr>
              <w:jc w:val="left"/>
              <w:rPr>
                <w:b/>
              </w:rPr>
            </w:pPr>
            <w:r>
              <w:rPr>
                <w:b/>
              </w:rPr>
              <w:t>Verschuldungsgrad</w:t>
            </w:r>
          </w:p>
        </w:tc>
        <w:tc>
          <w:tcPr>
            <w:tcW w:w="3572" w:type="dxa"/>
            <w:vAlign w:val="center"/>
          </w:tcPr>
          <w:p w:rsidR="005E7FF5" w:rsidRDefault="005E7FF5" w:rsidP="0020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Eigenkapital im Verhältnis zum Fremdkapital</w:t>
            </w:r>
          </w:p>
        </w:tc>
        <w:tc>
          <w:tcPr>
            <w:tcW w:w="2727" w:type="dxa"/>
            <w:vAlign w:val="center"/>
          </w:tcPr>
          <w:p w:rsidR="005E7FF5" w:rsidRDefault="00483B9F" w:rsidP="0059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Fremdkapital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Eigenkapital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5E7FF5" w:rsidRDefault="005E7FF5" w:rsidP="00CF5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E5D" w:rsidTr="0020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5E7FF5" w:rsidRPr="00CF524E" w:rsidRDefault="005E7FF5" w:rsidP="00594E5D">
            <w:pPr>
              <w:jc w:val="left"/>
              <w:rPr>
                <w:b/>
              </w:rPr>
            </w:pPr>
            <w:r>
              <w:rPr>
                <w:b/>
              </w:rPr>
              <w:t>Anlagedeckung I</w:t>
            </w:r>
          </w:p>
        </w:tc>
        <w:tc>
          <w:tcPr>
            <w:tcW w:w="3572" w:type="dxa"/>
            <w:vAlign w:val="center"/>
          </w:tcPr>
          <w:p w:rsidR="005E7FF5" w:rsidRDefault="005E7FF5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Goldene Bilanzregel, langfristige Anlagen sollten auch langfristig finanziert sein.</w:t>
            </w:r>
          </w:p>
        </w:tc>
        <w:tc>
          <w:tcPr>
            <w:tcW w:w="2727" w:type="dxa"/>
            <w:vAlign w:val="center"/>
          </w:tcPr>
          <w:p w:rsidR="005E7FF5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Eigenkapital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Anlagevermögen</m:t>
                    </m:r>
                  </m:den>
                </m:f>
              </m:oMath>
            </m:oMathPara>
          </w:p>
        </w:tc>
        <w:tc>
          <w:tcPr>
            <w:tcW w:w="652" w:type="dxa"/>
            <w:vMerge w:val="restart"/>
            <w:textDirection w:val="tbRl"/>
          </w:tcPr>
          <w:p w:rsidR="005E7FF5" w:rsidRPr="005E7FF5" w:rsidRDefault="005E7FF5" w:rsidP="005E7FF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7FF5">
              <w:rPr>
                <w:b/>
              </w:rPr>
              <w:t>Anlagedeckung (Aktiv/Passiv)</w:t>
            </w:r>
          </w:p>
        </w:tc>
      </w:tr>
      <w:tr w:rsidR="00594E5D" w:rsidTr="00202101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5E7FF5" w:rsidRPr="00CF524E" w:rsidRDefault="005E7FF5" w:rsidP="00594E5D">
            <w:pPr>
              <w:jc w:val="left"/>
              <w:rPr>
                <w:b/>
              </w:rPr>
            </w:pPr>
            <w:r>
              <w:rPr>
                <w:b/>
              </w:rPr>
              <w:t>Anlagedeckung II</w:t>
            </w:r>
          </w:p>
        </w:tc>
        <w:tc>
          <w:tcPr>
            <w:tcW w:w="3572" w:type="dxa"/>
            <w:vAlign w:val="center"/>
          </w:tcPr>
          <w:p w:rsidR="005E7FF5" w:rsidRDefault="005E7FF5" w:rsidP="0020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Silberne Bilanzregel, spätestens diese Regel sollte 100% ergeben.</w:t>
            </w:r>
          </w:p>
        </w:tc>
        <w:tc>
          <w:tcPr>
            <w:tcW w:w="2727" w:type="dxa"/>
            <w:vAlign w:val="center"/>
          </w:tcPr>
          <w:p w:rsidR="005E7FF5" w:rsidRDefault="00483B9F" w:rsidP="0048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Eigenkapital+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langfr.  Fremdkapital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</w:rPr>
                      <m:t>Anlagevermögen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5E7FF5" w:rsidRDefault="005E7FF5" w:rsidP="00CF5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E5D" w:rsidTr="0020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135703" w:rsidRPr="00CF524E" w:rsidRDefault="00135703" w:rsidP="00594E5D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Liquidität I</w:t>
            </w:r>
          </w:p>
        </w:tc>
        <w:tc>
          <w:tcPr>
            <w:tcW w:w="3572" w:type="dxa"/>
            <w:vAlign w:val="center"/>
          </w:tcPr>
          <w:p w:rsidR="00135703" w:rsidRDefault="00135703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Stellt dar, in welchem Maße die Verbindlichkeiten abbezahlt werden können. Höher = besser</w:t>
            </w:r>
          </w:p>
        </w:tc>
        <w:tc>
          <w:tcPr>
            <w:tcW w:w="2727" w:type="dxa"/>
            <w:vAlign w:val="center"/>
          </w:tcPr>
          <w:p w:rsidR="00135703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flüssige Mittel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kurzfr. Verbindl.</m:t>
                    </m:r>
                  </m:den>
                </m:f>
              </m:oMath>
            </m:oMathPara>
          </w:p>
        </w:tc>
        <w:tc>
          <w:tcPr>
            <w:tcW w:w="652" w:type="dxa"/>
            <w:vMerge w:val="restart"/>
            <w:textDirection w:val="tbRl"/>
          </w:tcPr>
          <w:p w:rsidR="00135703" w:rsidRPr="00135703" w:rsidRDefault="00135703" w:rsidP="0013570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5703">
              <w:rPr>
                <w:b/>
              </w:rPr>
              <w:t>Liquidität (Aktiv/Passiv)</w:t>
            </w:r>
          </w:p>
        </w:tc>
      </w:tr>
      <w:tr w:rsidR="00594E5D" w:rsidTr="00202101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135703" w:rsidRPr="00CF524E" w:rsidRDefault="00135703" w:rsidP="00594E5D">
            <w:pPr>
              <w:jc w:val="left"/>
              <w:rPr>
                <w:b/>
              </w:rPr>
            </w:pPr>
            <w:r>
              <w:rPr>
                <w:b/>
              </w:rPr>
              <w:t>Liquidität II</w:t>
            </w:r>
          </w:p>
        </w:tc>
        <w:tc>
          <w:tcPr>
            <w:tcW w:w="3572" w:type="dxa"/>
            <w:vAlign w:val="center"/>
          </w:tcPr>
          <w:p w:rsidR="00135703" w:rsidRDefault="00135703" w:rsidP="0020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Dieser Wert sollte 100% sein.</w:t>
            </w:r>
          </w:p>
        </w:tc>
        <w:tc>
          <w:tcPr>
            <w:tcW w:w="2727" w:type="dxa"/>
            <w:vAlign w:val="center"/>
          </w:tcPr>
          <w:p w:rsidR="00135703" w:rsidRDefault="00483B9F" w:rsidP="0059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flüssige Mittel+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kurzfr.  Forderungen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</w:rPr>
                      <m:t>kurzfr. Verbindl.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135703" w:rsidRDefault="00135703" w:rsidP="00CF5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E5D" w:rsidTr="0020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135703" w:rsidRPr="00CF524E" w:rsidRDefault="00135703" w:rsidP="00594E5D">
            <w:pPr>
              <w:jc w:val="left"/>
              <w:rPr>
                <w:b/>
              </w:rPr>
            </w:pPr>
            <w:r>
              <w:rPr>
                <w:b/>
              </w:rPr>
              <w:t>Liquidität III</w:t>
            </w:r>
          </w:p>
        </w:tc>
        <w:tc>
          <w:tcPr>
            <w:tcW w:w="3572" w:type="dxa"/>
            <w:vAlign w:val="center"/>
          </w:tcPr>
          <w:p w:rsidR="00135703" w:rsidRDefault="00135703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7" w:type="dxa"/>
            <w:vAlign w:val="center"/>
          </w:tcPr>
          <w:p w:rsidR="00135703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flüssige Mittel+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kurzfr.  Forderungen+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Vorräte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</w:rPr>
                      <m:t>kurzfr. Verbindl.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135703" w:rsidRDefault="00135703" w:rsidP="00CF5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5EB" w:rsidTr="00202101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1955EB" w:rsidRPr="00CF524E" w:rsidRDefault="001955EB" w:rsidP="00594E5D">
            <w:pPr>
              <w:jc w:val="left"/>
              <w:rPr>
                <w:b/>
              </w:rPr>
            </w:pPr>
            <w:r>
              <w:rPr>
                <w:b/>
              </w:rPr>
              <w:t>Umsatzrentabilität</w:t>
            </w:r>
          </w:p>
        </w:tc>
        <w:tc>
          <w:tcPr>
            <w:tcW w:w="3572" w:type="dxa"/>
            <w:vAlign w:val="center"/>
          </w:tcPr>
          <w:p w:rsidR="001955EB" w:rsidRDefault="001955EB" w:rsidP="00483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Rentabilität des Umsatzes </w:t>
            </w:r>
            <w:r w:rsidRPr="00135703">
              <w:rPr>
                <w:i/>
              </w:rPr>
              <w:t>(</w:t>
            </w:r>
            <w:r w:rsidR="00483B9F">
              <w:rPr>
                <w:i/>
              </w:rPr>
              <w:t>pro Euro</w:t>
            </w:r>
            <w:r w:rsidRPr="00135703">
              <w:rPr>
                <w:i/>
              </w:rPr>
              <w:t>)</w:t>
            </w:r>
          </w:p>
        </w:tc>
        <w:tc>
          <w:tcPr>
            <w:tcW w:w="2727" w:type="dxa"/>
            <w:vAlign w:val="center"/>
          </w:tcPr>
          <w:p w:rsidR="001955EB" w:rsidRDefault="00483B9F" w:rsidP="00483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Betriebswirtschaftlicher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Gewinn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</w:rPr>
                      <m:t>Umsatz</m:t>
                    </m:r>
                  </m:den>
                </m:f>
              </m:oMath>
            </m:oMathPara>
          </w:p>
        </w:tc>
        <w:tc>
          <w:tcPr>
            <w:tcW w:w="652" w:type="dxa"/>
            <w:vMerge w:val="restart"/>
            <w:textDirection w:val="tbRl"/>
          </w:tcPr>
          <w:p w:rsidR="001955EB" w:rsidRPr="001955EB" w:rsidRDefault="001955EB" w:rsidP="001955E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55EB">
              <w:rPr>
                <w:b/>
              </w:rPr>
              <w:t>Erfolgsken</w:t>
            </w:r>
            <w:r>
              <w:rPr>
                <w:b/>
              </w:rPr>
              <w:t>n</w:t>
            </w:r>
            <w:r w:rsidRPr="001955EB">
              <w:rPr>
                <w:b/>
              </w:rPr>
              <w:t>zahlen</w:t>
            </w:r>
          </w:p>
        </w:tc>
      </w:tr>
      <w:tr w:rsidR="001955EB" w:rsidTr="0020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1955EB" w:rsidRPr="00CF524E" w:rsidRDefault="001955EB" w:rsidP="00594E5D">
            <w:pPr>
              <w:jc w:val="left"/>
              <w:rPr>
                <w:b/>
              </w:rPr>
            </w:pPr>
            <w:r>
              <w:rPr>
                <w:b/>
              </w:rPr>
              <w:t>Eigenkapital-rentabilität</w:t>
            </w:r>
          </w:p>
        </w:tc>
        <w:tc>
          <w:tcPr>
            <w:tcW w:w="3572" w:type="dxa"/>
            <w:vAlign w:val="center"/>
          </w:tcPr>
          <w:p w:rsidR="001955EB" w:rsidRDefault="001955EB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Rentabilität des eigenen Kapitals</w:t>
            </w:r>
          </w:p>
        </w:tc>
        <w:tc>
          <w:tcPr>
            <w:tcW w:w="2727" w:type="dxa"/>
            <w:vAlign w:val="center"/>
          </w:tcPr>
          <w:p w:rsidR="001955EB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Betriebswirtschaftlicher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Gewinn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</w:rPr>
                      <m:t>durschnittl. Eigenkapital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1955EB" w:rsidRDefault="001955EB" w:rsidP="00CF5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55EB" w:rsidTr="0020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1955EB" w:rsidRPr="00CF524E" w:rsidRDefault="001955EB" w:rsidP="00594E5D">
            <w:pPr>
              <w:jc w:val="left"/>
              <w:rPr>
                <w:b/>
              </w:rPr>
            </w:pPr>
            <w:r>
              <w:rPr>
                <w:b/>
              </w:rPr>
              <w:t>Dynamischer Verschuldungsgrad in Jahren</w:t>
            </w:r>
          </w:p>
        </w:tc>
        <w:tc>
          <w:tcPr>
            <w:tcW w:w="3572" w:type="dxa"/>
            <w:vAlign w:val="center"/>
          </w:tcPr>
          <w:p w:rsidR="001955EB" w:rsidRDefault="001955EB" w:rsidP="0020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Zeigt an wie lange das Unternehmen zur Schuldentilgung brauchen würde falls der BCF nur dazu genutzt würde</w:t>
            </w:r>
          </w:p>
        </w:tc>
        <w:tc>
          <w:tcPr>
            <w:tcW w:w="2727" w:type="dxa"/>
            <w:vAlign w:val="center"/>
          </w:tcPr>
          <w:p w:rsidR="001955EB" w:rsidRDefault="00483B9F" w:rsidP="0059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Fremdkapital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Brutto Cashflow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1955EB" w:rsidRDefault="001955EB" w:rsidP="00CF5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55EB" w:rsidTr="0020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1955EB" w:rsidRPr="00CF524E" w:rsidRDefault="001955EB" w:rsidP="00594E5D">
            <w:pPr>
              <w:jc w:val="left"/>
              <w:rPr>
                <w:b/>
              </w:rPr>
            </w:pPr>
            <w:r>
              <w:rPr>
                <w:b/>
              </w:rPr>
              <w:t>Entschuldungsdauer in Jahren</w:t>
            </w:r>
          </w:p>
        </w:tc>
        <w:tc>
          <w:tcPr>
            <w:tcW w:w="3572" w:type="dxa"/>
            <w:vAlign w:val="center"/>
          </w:tcPr>
          <w:p w:rsidR="001955EB" w:rsidRDefault="001955EB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 oben, nur unter Berücksichtigung des Privatkontos. Sollte unter 6 sein.</w:t>
            </w:r>
          </w:p>
        </w:tc>
        <w:tc>
          <w:tcPr>
            <w:tcW w:w="2727" w:type="dxa"/>
            <w:vAlign w:val="center"/>
          </w:tcPr>
          <w:p w:rsidR="001955EB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Fremdkapital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Netto Cashflow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1955EB" w:rsidRDefault="001955EB" w:rsidP="00CF5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E5D" w:rsidTr="00202101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594E5D" w:rsidRPr="00CF524E" w:rsidRDefault="00594E5D" w:rsidP="00594E5D">
            <w:pPr>
              <w:jc w:val="left"/>
              <w:rPr>
                <w:b/>
              </w:rPr>
            </w:pPr>
            <w:r>
              <w:rPr>
                <w:b/>
              </w:rPr>
              <w:t>Forderungsumschlag</w:t>
            </w:r>
          </w:p>
        </w:tc>
        <w:tc>
          <w:tcPr>
            <w:tcW w:w="3572" w:type="dxa"/>
            <w:vAlign w:val="center"/>
          </w:tcPr>
          <w:p w:rsidR="00594E5D" w:rsidRDefault="00594E5D" w:rsidP="0020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Gibt an wie oft sich der Forderungswert erneuert</w:t>
            </w:r>
          </w:p>
        </w:tc>
        <w:tc>
          <w:tcPr>
            <w:tcW w:w="2727" w:type="dxa"/>
            <w:vAlign w:val="center"/>
          </w:tcPr>
          <w:p w:rsidR="00594E5D" w:rsidRDefault="00483B9F" w:rsidP="0059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Umsatzerlöse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Durschnittlicher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Forderungsbestand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652" w:type="dxa"/>
            <w:vMerge w:val="restart"/>
            <w:shd w:val="clear" w:color="auto" w:fill="F2F2F2" w:themeFill="background1" w:themeFillShade="F2"/>
            <w:textDirection w:val="tbRl"/>
          </w:tcPr>
          <w:p w:rsidR="00594E5D" w:rsidRPr="00594E5D" w:rsidRDefault="00594E5D" w:rsidP="00594E5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Wirtschaftlichkeitskennzahlen</w:t>
            </w:r>
          </w:p>
        </w:tc>
      </w:tr>
      <w:tr w:rsidR="00594E5D" w:rsidTr="0020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594E5D" w:rsidRPr="00CF524E" w:rsidRDefault="00594E5D" w:rsidP="00594E5D">
            <w:pPr>
              <w:jc w:val="left"/>
              <w:rPr>
                <w:b/>
              </w:rPr>
            </w:pPr>
            <w:r>
              <w:rPr>
                <w:b/>
              </w:rPr>
              <w:t>Durchschnittliche Kreditdauer in Tagen</w:t>
            </w:r>
          </w:p>
        </w:tc>
        <w:tc>
          <w:tcPr>
            <w:tcW w:w="3572" w:type="dxa"/>
            <w:vAlign w:val="center"/>
          </w:tcPr>
          <w:p w:rsidR="00594E5D" w:rsidRDefault="00594E5D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Ergibt die Zeit, die der Unternehmer durchschnittlich auf seine Forderungen warten muss.</w:t>
            </w:r>
          </w:p>
        </w:tc>
        <w:tc>
          <w:tcPr>
            <w:tcW w:w="2727" w:type="dxa"/>
            <w:vAlign w:val="center"/>
          </w:tcPr>
          <w:p w:rsidR="00594E5D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Forderungsumschlag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594E5D" w:rsidRDefault="00594E5D" w:rsidP="00CF5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E5D" w:rsidTr="00202101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594E5D" w:rsidRPr="00CF524E" w:rsidRDefault="00594E5D" w:rsidP="00594E5D">
            <w:pPr>
              <w:jc w:val="left"/>
              <w:rPr>
                <w:b/>
              </w:rPr>
            </w:pPr>
            <w:r>
              <w:rPr>
                <w:b/>
              </w:rPr>
              <w:t>Kapitalumschlag</w:t>
            </w:r>
          </w:p>
        </w:tc>
        <w:tc>
          <w:tcPr>
            <w:tcW w:w="3572" w:type="dxa"/>
            <w:vAlign w:val="center"/>
          </w:tcPr>
          <w:p w:rsidR="00594E5D" w:rsidRDefault="00594E5D" w:rsidP="0020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Stellt den Rückfluss des Kapitals über die Umsätze dar.</w:t>
            </w:r>
          </w:p>
        </w:tc>
        <w:tc>
          <w:tcPr>
            <w:tcW w:w="2727" w:type="dxa"/>
            <w:vAlign w:val="center"/>
          </w:tcPr>
          <w:p w:rsidR="00594E5D" w:rsidRDefault="00483B9F" w:rsidP="00594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Umsatzerlöse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Gesamtkapital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  <w:shd w:val="clear" w:color="auto" w:fill="F2F2F2" w:themeFill="background1" w:themeFillShade="F2"/>
          </w:tcPr>
          <w:p w:rsidR="00594E5D" w:rsidRDefault="00594E5D" w:rsidP="00CF5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E5D" w:rsidTr="0020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594E5D" w:rsidRPr="00CF524E" w:rsidRDefault="00594E5D" w:rsidP="00594E5D">
            <w:pPr>
              <w:jc w:val="left"/>
              <w:rPr>
                <w:b/>
              </w:rPr>
            </w:pPr>
            <w:r>
              <w:rPr>
                <w:b/>
              </w:rPr>
              <w:t>Durchschnittliche Kapitalumschlagsdauer in Tagen</w:t>
            </w:r>
          </w:p>
        </w:tc>
        <w:tc>
          <w:tcPr>
            <w:tcW w:w="3572" w:type="dxa"/>
            <w:vAlign w:val="center"/>
          </w:tcPr>
          <w:p w:rsidR="00594E5D" w:rsidRDefault="00594E5D" w:rsidP="0020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Lässt Rückschlüsse auf die Flexibilität des Unternehmens zu</w:t>
            </w:r>
          </w:p>
        </w:tc>
        <w:tc>
          <w:tcPr>
            <w:tcW w:w="2727" w:type="dxa"/>
            <w:vAlign w:val="center"/>
          </w:tcPr>
          <w:p w:rsidR="00594E5D" w:rsidRDefault="00483B9F" w:rsidP="0059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Kapitalumschlag</m:t>
                    </m:r>
                  </m:den>
                </m:f>
              </m:oMath>
            </m:oMathPara>
          </w:p>
        </w:tc>
        <w:tc>
          <w:tcPr>
            <w:tcW w:w="652" w:type="dxa"/>
            <w:vMerge/>
          </w:tcPr>
          <w:p w:rsidR="00594E5D" w:rsidRDefault="00594E5D" w:rsidP="00CF5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5228" w:rsidRDefault="00565228" w:rsidP="00594E5D"/>
    <w:p w:rsidR="00594E5D" w:rsidRDefault="00594E5D" w:rsidP="00594E5D"/>
    <w:p w:rsidR="00947341" w:rsidRDefault="00947341" w:rsidP="00594E5D">
      <w:pPr>
        <w:rPr>
          <w:rFonts w:eastAsiaTheme="minorEastAsia"/>
        </w:rPr>
      </w:pPr>
      <w:r>
        <w:t>Produktivität: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Output</m:t>
            </m:r>
          </m:num>
          <m:den>
            <m:r>
              <w:rPr>
                <w:rFonts w:ascii="Cambria Math" w:hAnsi="Cambria Math"/>
              </w:rPr>
              <m:t>Input</m:t>
            </m:r>
          </m:den>
        </m:f>
      </m:oMath>
    </w:p>
    <w:p w:rsidR="00947341" w:rsidRPr="00CF524E" w:rsidRDefault="00947341" w:rsidP="00594E5D">
      <w:r>
        <w:rPr>
          <w:rFonts w:eastAsiaTheme="minorEastAsia"/>
        </w:rPr>
        <w:t>Wirtschaftlichkeit: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Ertrag</m:t>
            </m:r>
          </m:num>
          <m:den>
            <m:r>
              <w:rPr>
                <w:rFonts w:ascii="Cambria Math" w:eastAsiaTheme="minorEastAsia" w:hAnsi="Cambria Math"/>
              </w:rPr>
              <m:t>Aufwand</m:t>
            </m:r>
          </m:den>
        </m:f>
      </m:oMath>
      <w:bookmarkEnd w:id="0"/>
    </w:p>
    <w:sectPr w:rsidR="00947341" w:rsidRPr="00CF524E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483B9F" w:rsidRPr="00483B9F">
      <w:rPr>
        <w:rFonts w:eastAsiaTheme="majorEastAsia"/>
        <w:b/>
        <w:noProof/>
      </w:rPr>
      <w:t>2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0"/>
  </w:num>
  <w:num w:numId="5">
    <w:abstractNumId w:val="15"/>
  </w:num>
  <w:num w:numId="6">
    <w:abstractNumId w:val="1"/>
  </w:num>
  <w:num w:numId="7">
    <w:abstractNumId w:val="10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9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21"/>
  </w:num>
  <w:num w:numId="19">
    <w:abstractNumId w:val="14"/>
  </w:num>
  <w:num w:numId="20">
    <w:abstractNumId w:val="3"/>
  </w:num>
  <w:num w:numId="21">
    <w:abstractNumId w:val="8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0C74BD"/>
    <w:rsid w:val="00116899"/>
    <w:rsid w:val="00126848"/>
    <w:rsid w:val="00135703"/>
    <w:rsid w:val="00153067"/>
    <w:rsid w:val="001955EB"/>
    <w:rsid w:val="00202101"/>
    <w:rsid w:val="00283286"/>
    <w:rsid w:val="003365DA"/>
    <w:rsid w:val="003F1B57"/>
    <w:rsid w:val="00483B9F"/>
    <w:rsid w:val="00565228"/>
    <w:rsid w:val="00594E5D"/>
    <w:rsid w:val="005E7FF5"/>
    <w:rsid w:val="00665611"/>
    <w:rsid w:val="00685543"/>
    <w:rsid w:val="0078361D"/>
    <w:rsid w:val="00867FC9"/>
    <w:rsid w:val="008D2EA5"/>
    <w:rsid w:val="009378CB"/>
    <w:rsid w:val="00947341"/>
    <w:rsid w:val="00A119EC"/>
    <w:rsid w:val="00A9257C"/>
    <w:rsid w:val="00AE5737"/>
    <w:rsid w:val="00B5064A"/>
    <w:rsid w:val="00CF524E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F524E"/>
    <w:rPr>
      <w:color w:val="808080"/>
    </w:rPr>
  </w:style>
  <w:style w:type="table" w:styleId="EinfacheTabelle5">
    <w:name w:val="Plain Table 5"/>
    <w:basedOn w:val="NormaleTabelle"/>
    <w:uiPriority w:val="45"/>
    <w:rsid w:val="00594E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1FB8-4067-49FD-B6B0-57C4053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14</cp:revision>
  <cp:lastPrinted>2020-11-14T21:23:00Z</cp:lastPrinted>
  <dcterms:created xsi:type="dcterms:W3CDTF">2020-10-17T09:34:00Z</dcterms:created>
  <dcterms:modified xsi:type="dcterms:W3CDTF">2020-11-21T20:02:00Z</dcterms:modified>
</cp:coreProperties>
</file>